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lang w:val="en-US" w:eastAsia="zh-CN"/>
        </w:rPr>
        <w:t>江苏阳光（600220）</w:t>
      </w:r>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被告：江苏阳光股份有限公司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江阴市新桥镇马嘶桥</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江苏阳光股份有限公司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w:t>
      </w:r>
      <w:bookmarkStart w:id="1" w:name="_GoBack"/>
      <w:bookmarkEnd w:id="1"/>
      <w:r>
        <w:rPr>
          <w:rFonts w:hint="eastAsia" w:ascii="宋体" w:hAnsi="宋体"/>
          <w:sz w:val="24"/>
          <w:szCs w:val="28"/>
          <w:lang w:val="en-US" w:eastAsia="zh-CN"/>
        </w:rPr>
        <w:t>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江苏阳光股份有限公司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：江苏阳光股份有限公司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住所:江阴市新桥镇马嘶桥</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3A0FD2"/>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4</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2024-05-05T07:29:56Z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8022E833823B47A6866D9C9205B5EC08_13</vt:lpwstr>
  </property>
</Properties>
</file>